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bCs/>
          <w:sz w:val="22"/>
        </w:rPr>
      </w:pPr>
      <w:r>
        <w:rPr>
          <w:b/>
          <w:bCs/>
          <w:sz w:val="22"/>
        </w:rPr>
        <w:t xml:space="preserve">PRELIMINARIOJI SUTARTIS </w:t>
      </w:r>
    </w:p>
    <w:p>
      <w:pPr>
        <w:pStyle w:val="Normal"/>
        <w:spacing w:lineRule="auto" w:line="360"/>
        <w:rPr>
          <w:sz w:val="22"/>
        </w:rPr>
      </w:pPr>
      <w:r>
        <w:rPr>
          <w:sz w:val="22"/>
        </w:rPr>
      </w:r>
    </w:p>
    <w:p>
      <w:pPr>
        <w:pStyle w:val="Normal"/>
        <w:spacing w:lineRule="auto" w:line="360"/>
        <w:jc w:val="center"/>
        <w:rPr>
          <w:sz w:val="22"/>
        </w:rPr>
      </w:pPr>
      <w:r>
        <w:rPr>
          <w:sz w:val="22"/>
        </w:rPr>
        <w:t>____________________ (data)</w:t>
      </w:r>
    </w:p>
    <w:p>
      <w:pPr>
        <w:pStyle w:val="Normal"/>
        <w:spacing w:lineRule="auto" w:line="360"/>
        <w:jc w:val="center"/>
        <w:rPr>
          <w:sz w:val="22"/>
        </w:rPr>
      </w:pPr>
      <w:r>
        <w:rPr>
          <w:sz w:val="22"/>
        </w:rPr>
      </w:r>
    </w:p>
    <w:p>
      <w:pPr>
        <w:pStyle w:val="Normal"/>
        <w:spacing w:lineRule="auto" w:line="360"/>
        <w:jc w:val="center"/>
        <w:rPr>
          <w:sz w:val="22"/>
        </w:rPr>
      </w:pPr>
      <w:r>
        <w:rPr>
          <w:sz w:val="22"/>
        </w:rPr>
        <w:t>________________________ (vieta)</w:t>
      </w:r>
    </w:p>
    <w:p>
      <w:pPr>
        <w:pStyle w:val="Normal"/>
        <w:spacing w:lineRule="auto" w:line="360"/>
        <w:jc w:val="left"/>
        <w:rPr>
          <w:sz w:val="22"/>
        </w:rPr>
      </w:pPr>
      <w:r>
        <w:rPr>
          <w:sz w:val="22"/>
        </w:rPr>
      </w:r>
    </w:p>
    <w:p>
      <w:pPr>
        <w:pStyle w:val="Normal"/>
        <w:spacing w:lineRule="auto" w:line="360"/>
        <w:rPr>
          <w:sz w:val="22"/>
        </w:rPr>
      </w:pPr>
      <w:r>
        <w:rPr>
          <w:sz w:val="22"/>
        </w:rPr>
      </w:r>
    </w:p>
    <w:p>
      <w:pPr>
        <w:pStyle w:val="Normal"/>
        <w:spacing w:lineRule="auto" w:line="360"/>
        <w:ind w:firstLine="709"/>
        <w:rPr>
          <w:sz w:val="22"/>
        </w:rPr>
      </w:pPr>
      <w:r>
        <w:rPr/>
        <w:t>___________________________________________________________________________________________________________________________________________________________________________________________________________________________ (vardas, pavardė, asmens kodas)</w:t>
      </w:r>
      <w:r>
        <w:rPr>
          <w:sz w:val="22"/>
        </w:rPr>
        <w:t>, to</w:t>
        <w:softHyphen/>
        <w:t>liau va</w:t>
        <w:softHyphen/>
        <w:t>di</w:t>
        <w:softHyphen/>
        <w:t>na</w:t>
        <w:softHyphen/>
        <w:t>mas (-i) Pir</w:t>
        <w:softHyphen/>
        <w:t>kė</w:t>
        <w:softHyphen/>
        <w:t xml:space="preserve">ju (-ai), ir </w:t>
      </w:r>
    </w:p>
    <w:p>
      <w:pPr>
        <w:pStyle w:val="Normal"/>
        <w:spacing w:lineRule="auto" w:line="360"/>
        <w:ind w:firstLine="709"/>
        <w:rPr/>
      </w:pPr>
      <w:r>
        <w:rPr/>
        <w:t xml:space="preserve">________________________________________________________________________________________________________________________________________________ </w:t>
      </w:r>
    </w:p>
    <w:p>
      <w:pPr>
        <w:pStyle w:val="Normal"/>
        <w:spacing w:lineRule="auto" w:line="360"/>
        <w:ind w:firstLine="709"/>
        <w:rPr>
          <w:sz w:val="22"/>
        </w:rPr>
      </w:pPr>
      <w:r>
        <w:rPr/>
        <w:t xml:space="preserve">(vardas, pavardė, asmens kodas) </w:t>
      </w:r>
      <w:r>
        <w:rPr>
          <w:sz w:val="22"/>
        </w:rPr>
        <w:t>, to</w:t>
        <w:softHyphen/>
        <w:t>liau va</w:t>
        <w:softHyphen/>
        <w:t>di</w:t>
        <w:softHyphen/>
        <w:t>na</w:t>
        <w:softHyphen/>
        <w:t>ma Par</w:t>
        <w:softHyphen/>
        <w:t>da</w:t>
        <w:softHyphen/>
        <w:t>vė</w:t>
        <w:softHyphen/>
        <w:t>ju (toliau kartu vadinamos Šalimis, o kiekviena atskirai – Šalimi), su</w:t>
        <w:softHyphen/>
        <w:t>da</w:t>
        <w:softHyphen/>
        <w:t>rė šią preliminariąją sutartį dėl žemės sklypo pir</w:t>
        <w:softHyphen/>
        <w:t>ki</w:t>
        <w:softHyphen/>
        <w:t>mo–par</w:t>
        <w:softHyphen/>
        <w:t>da</w:t>
        <w:softHyphen/>
        <w:t>vi</w:t>
        <w:softHyphen/>
        <w:t>mo (toliau vadinama Sutartimi):</w:t>
      </w:r>
    </w:p>
    <w:p>
      <w:pPr>
        <w:pStyle w:val="Normal"/>
        <w:spacing w:lineRule="auto" w:line="360"/>
        <w:rPr>
          <w:sz w:val="22"/>
        </w:rPr>
      </w:pPr>
      <w:r>
        <w:rPr>
          <w:sz w:val="22"/>
        </w:rPr>
      </w:r>
    </w:p>
    <w:p>
      <w:pPr>
        <w:pStyle w:val="Normal"/>
        <w:spacing w:lineRule="auto" w:line="360"/>
        <w:jc w:val="center"/>
        <w:rPr>
          <w:b/>
          <w:b/>
          <w:bCs/>
          <w:sz w:val="22"/>
        </w:rPr>
      </w:pPr>
      <w:r>
        <w:rPr>
          <w:b/>
          <w:bCs/>
          <w:sz w:val="22"/>
        </w:rPr>
        <w:t>I. SUTARTIES OBJEKTAS</w:t>
      </w:r>
    </w:p>
    <w:p>
      <w:pPr>
        <w:pStyle w:val="Normal"/>
        <w:spacing w:lineRule="auto" w:line="360"/>
        <w:rPr>
          <w:b/>
          <w:b/>
          <w:bCs/>
          <w:sz w:val="22"/>
        </w:rPr>
      </w:pPr>
      <w:r>
        <w:rPr>
          <w:b/>
          <w:bCs/>
          <w:sz w:val="22"/>
        </w:rPr>
      </w:r>
    </w:p>
    <w:p>
      <w:pPr>
        <w:pStyle w:val="ListParagraph"/>
        <w:numPr>
          <w:ilvl w:val="0"/>
          <w:numId w:val="1"/>
        </w:numPr>
        <w:spacing w:lineRule="auto" w:line="360"/>
        <w:ind w:left="0" w:firstLine="851"/>
        <w:rPr/>
      </w:pPr>
      <w:r>
        <w:rPr>
          <w:sz w:val="22"/>
        </w:rPr>
        <w:t>Pagal šios Sutarties sąlygas Pardavėjas įsipareigoja parduoti, o Pirkėjas _________________________, a. k. _______________________ įsipareigoja nupirkti _______</w:t>
      </w:r>
      <w:r>
        <w:rPr/>
        <w:t xml:space="preserve"> Ha ploto žemės sklypą, unikalus Nr. _____________________________, esantį __________________________________________.</w:t>
      </w:r>
    </w:p>
    <w:p>
      <w:pPr>
        <w:pStyle w:val="Normal"/>
        <w:spacing w:lineRule="auto" w:line="360"/>
        <w:rPr>
          <w:b/>
          <w:b/>
          <w:bCs/>
          <w:sz w:val="22"/>
        </w:rPr>
      </w:pPr>
      <w:r>
        <w:rPr>
          <w:b/>
          <w:bCs/>
          <w:sz w:val="22"/>
        </w:rPr>
      </w:r>
    </w:p>
    <w:p>
      <w:pPr>
        <w:pStyle w:val="Normal"/>
        <w:spacing w:lineRule="auto" w:line="360"/>
        <w:jc w:val="center"/>
        <w:rPr>
          <w:b/>
          <w:b/>
          <w:bCs/>
          <w:sz w:val="22"/>
        </w:rPr>
      </w:pPr>
      <w:r>
        <w:rPr>
          <w:b/>
          <w:bCs/>
          <w:sz w:val="22"/>
        </w:rPr>
        <w:t>II. SUTARTIES KAINA IR ATSISKAITYMAS</w:t>
      </w:r>
    </w:p>
    <w:p>
      <w:pPr>
        <w:pStyle w:val="Normal"/>
        <w:spacing w:lineRule="auto" w:line="360"/>
        <w:jc w:val="center"/>
        <w:rPr>
          <w:b/>
          <w:b/>
          <w:bCs/>
          <w:sz w:val="22"/>
        </w:rPr>
      </w:pPr>
      <w:r>
        <w:rPr>
          <w:b/>
          <w:bCs/>
          <w:sz w:val="22"/>
        </w:rPr>
      </w:r>
    </w:p>
    <w:p>
      <w:pPr>
        <w:pStyle w:val="Normal"/>
        <w:spacing w:lineRule="auto" w:line="360"/>
        <w:ind w:firstLine="720"/>
        <w:rPr>
          <w:sz w:val="22"/>
        </w:rPr>
      </w:pPr>
      <w:r>
        <w:rPr>
          <w:sz w:val="22"/>
        </w:rPr>
        <w:t>3. Šalių susitarimu pardavimo kaina yra ________________________</w:t>
      </w:r>
      <w:r>
        <w:rPr>
          <w:b/>
          <w:bCs/>
          <w:sz w:val="22"/>
        </w:rPr>
        <w:t xml:space="preserve"> </w:t>
      </w:r>
      <w:r>
        <w:rPr>
          <w:sz w:val="22"/>
        </w:rPr>
        <w:t>EUR</w:t>
      </w:r>
      <w:r>
        <w:rPr>
          <w:b/>
          <w:bCs/>
          <w:sz w:val="22"/>
        </w:rPr>
        <w:t xml:space="preserve"> </w:t>
      </w:r>
      <w:r>
        <w:rPr>
          <w:sz w:val="22"/>
        </w:rPr>
        <w:t>(suma žodžiais: _________________________________________________________________________________).</w:t>
      </w:r>
    </w:p>
    <w:p>
      <w:pPr>
        <w:pStyle w:val="Normal"/>
        <w:spacing w:lineRule="auto" w:line="360"/>
        <w:ind w:firstLine="720"/>
        <w:rPr>
          <w:sz w:val="22"/>
        </w:rPr>
      </w:pPr>
      <w:r>
        <w:rPr>
          <w:sz w:val="22"/>
        </w:rPr>
        <w:t>4. Pagrindinė nekilnojamojo turto pirkimo–pardavimo sutartis, kiek tai priklauso nuo Šalių valios, pasirašoma tarp Pardavėjo ir Pirkėjo (-ų) iki 2019 m. ________________ mėn. _____ d. Notarinės sutarties sudarymo išlaidas apmoka Pardavėjas ir Pirkėjas lygiomis dalimis.</w:t>
      </w:r>
    </w:p>
    <w:p>
      <w:pPr>
        <w:pStyle w:val="Normal"/>
        <w:spacing w:lineRule="auto" w:line="360"/>
        <w:ind w:firstLine="720"/>
        <w:rPr>
          <w:sz w:val="22"/>
        </w:rPr>
      </w:pPr>
      <w:r>
        <w:rPr>
          <w:sz w:val="22"/>
        </w:rPr>
        <w:t>5.</w:t>
      </w:r>
      <w:r>
        <w:rPr>
          <w:b/>
          <w:bCs/>
          <w:sz w:val="22"/>
        </w:rPr>
        <w:t xml:space="preserve"> </w:t>
      </w:r>
      <w:r>
        <w:rPr>
          <w:sz w:val="22"/>
        </w:rPr>
        <w:t xml:space="preserve">Pirkėjas </w:t>
      </w:r>
      <w:bookmarkStart w:id="0" w:name="_GoBack"/>
      <w:r>
        <w:rPr>
          <w:sz w:val="22"/>
        </w:rPr>
        <w:t xml:space="preserve">(-ai) </w:t>
      </w:r>
      <w:bookmarkEnd w:id="0"/>
      <w:r>
        <w:rPr>
          <w:sz w:val="22"/>
        </w:rPr>
        <w:t xml:space="preserve">įsipareigoja sumokėti iki ________________________ Pardavėjui _____________________ EUR (suma žodžiais: _________________________________________________________________________________) avansą į Pardavėjo sąskaitą, kurios Nr. ____________________________________, kuris yra nekilnojamojo turto pardavimo kainos dalis. Jei Pirkėjas (-ai) iki nurodyto laikotarpio nesumoka avansinės įmokos, tai reiškia jo atsisakymą nuo šios Sutarties (Preliminarioji sutartis neįsigalioja). </w:t>
      </w:r>
    </w:p>
    <w:p>
      <w:pPr>
        <w:pStyle w:val="Normal"/>
        <w:spacing w:lineRule="auto" w:line="360"/>
        <w:rPr>
          <w:b/>
          <w:b/>
          <w:bCs/>
          <w:sz w:val="22"/>
        </w:rPr>
      </w:pPr>
      <w:r>
        <w:rPr>
          <w:b/>
          <w:bCs/>
          <w:sz w:val="22"/>
        </w:rPr>
        <w:t xml:space="preserve">  </w:t>
      </w:r>
    </w:p>
    <w:p>
      <w:pPr>
        <w:pStyle w:val="Normal"/>
        <w:spacing w:lineRule="auto" w:line="360"/>
        <w:jc w:val="center"/>
        <w:rPr>
          <w:b/>
          <w:b/>
          <w:bCs/>
          <w:sz w:val="22"/>
        </w:rPr>
      </w:pPr>
      <w:r>
        <w:rPr>
          <w:b/>
          <w:bCs/>
          <w:sz w:val="22"/>
        </w:rPr>
        <w:t>III. ŠALIŲ ĮSIPAREIGOJIMAI</w:t>
      </w:r>
    </w:p>
    <w:p>
      <w:pPr>
        <w:pStyle w:val="Normal"/>
        <w:spacing w:lineRule="auto" w:line="360"/>
        <w:ind w:firstLine="720"/>
        <w:rPr>
          <w:b/>
          <w:b/>
          <w:bCs/>
          <w:sz w:val="22"/>
        </w:rPr>
      </w:pPr>
      <w:r>
        <w:rPr>
          <w:b/>
          <w:bCs/>
          <w:sz w:val="22"/>
        </w:rPr>
      </w:r>
    </w:p>
    <w:p>
      <w:pPr>
        <w:pStyle w:val="Normal"/>
        <w:spacing w:lineRule="auto" w:line="360"/>
        <w:ind w:firstLine="720"/>
        <w:rPr>
          <w:sz w:val="22"/>
        </w:rPr>
      </w:pPr>
      <w:r>
        <w:rPr>
          <w:sz w:val="22"/>
        </w:rPr>
        <w:t>6.</w:t>
      </w:r>
      <w:r>
        <w:rPr>
          <w:b/>
          <w:bCs/>
          <w:sz w:val="22"/>
        </w:rPr>
        <w:t xml:space="preserve"> </w:t>
      </w:r>
      <w:r>
        <w:rPr>
          <w:sz w:val="22"/>
        </w:rPr>
        <w:t>Pardavėjas patvirtina, kad į ketinamą parduoti nekilnojamąjį turtą tretieji asmenys neturi jokių teisių ar pretenzijų, jis nėra areštuotas, nėra teisminio ginčo objektas, nėra jokių viešosios teisės pažeidimų ar apribojimų, kurie galėtų turėti įtakos Pirkėjo (-ų)  nuosavybės teisei į perkamą nekilnojamąjį turtą.</w:t>
      </w:r>
    </w:p>
    <w:p>
      <w:pPr>
        <w:pStyle w:val="Normal"/>
        <w:spacing w:lineRule="auto" w:line="360"/>
        <w:ind w:firstLine="720"/>
        <w:rPr>
          <w:sz w:val="22"/>
        </w:rPr>
      </w:pPr>
      <w:r>
        <w:rPr>
          <w:sz w:val="22"/>
        </w:rPr>
        <w:t>7.</w:t>
      </w:r>
      <w:r>
        <w:rPr>
          <w:b/>
          <w:bCs/>
          <w:sz w:val="22"/>
        </w:rPr>
        <w:t xml:space="preserve"> </w:t>
      </w:r>
      <w:r>
        <w:rPr>
          <w:sz w:val="22"/>
        </w:rPr>
        <w:t>Pardavėjas įsipareigoja nuo šios preliminariosios Sutarties pasirašymo dienos iki Pagrindinės nekilnojamojo turto pirkimo–pardavimo sutarties pasirašymo, tinkamai naudotis nekilnojamuoju turtu, nedaryti jokių pertvarkymų ar kitokių veiksmų kurie kaip nors galėtų pakenkti parduodamam nekilnojamam turtui. Šioje Sutartyje nurodyto nekilnojamojo turto neparduoti, neperleisti, neįkeisti ar kitaip neapsunkinti savo nuosavybės teisių į šį nekilnojamąjį turtą.</w:t>
      </w:r>
    </w:p>
    <w:p>
      <w:pPr>
        <w:pStyle w:val="Normal"/>
        <w:spacing w:lineRule="auto" w:line="360"/>
        <w:ind w:firstLine="720"/>
        <w:rPr>
          <w:sz w:val="22"/>
        </w:rPr>
      </w:pPr>
      <w:r>
        <w:rPr>
          <w:sz w:val="22"/>
        </w:rPr>
        <w:t xml:space="preserve">8. Pirkėjas (-ai) užtikrina, kad jis yra mokus ir finansiškai pajėgus įvykdyti visus šioje sutartyje prisiimtus piniginius įsipareigojimus. </w:t>
      </w:r>
    </w:p>
    <w:p>
      <w:pPr>
        <w:pStyle w:val="Normal"/>
        <w:spacing w:lineRule="auto" w:line="360"/>
        <w:rPr>
          <w:sz w:val="22"/>
        </w:rPr>
      </w:pPr>
      <w:r>
        <w:rPr>
          <w:sz w:val="22"/>
        </w:rPr>
      </w:r>
    </w:p>
    <w:p>
      <w:pPr>
        <w:pStyle w:val="Normal"/>
        <w:spacing w:lineRule="auto" w:line="360"/>
        <w:jc w:val="center"/>
        <w:rPr>
          <w:b/>
          <w:b/>
          <w:bCs/>
          <w:sz w:val="22"/>
        </w:rPr>
      </w:pPr>
      <w:r>
        <w:rPr>
          <w:b/>
          <w:bCs/>
          <w:sz w:val="22"/>
        </w:rPr>
        <w:t>IV. SUTARTIES VYKDYMAS IR ATSAKOMYBĖ</w:t>
      </w:r>
    </w:p>
    <w:p>
      <w:pPr>
        <w:pStyle w:val="Normal"/>
        <w:spacing w:lineRule="auto" w:line="360"/>
        <w:ind w:firstLine="720"/>
        <w:rPr>
          <w:b/>
          <w:b/>
          <w:bCs/>
          <w:sz w:val="22"/>
        </w:rPr>
      </w:pPr>
      <w:r>
        <w:rPr>
          <w:b/>
          <w:bCs/>
          <w:sz w:val="22"/>
        </w:rPr>
        <w:t xml:space="preserve"> </w:t>
      </w:r>
    </w:p>
    <w:p>
      <w:pPr>
        <w:pStyle w:val="Normal"/>
        <w:spacing w:lineRule="auto" w:line="360"/>
        <w:ind w:firstLine="720"/>
        <w:rPr>
          <w:sz w:val="22"/>
        </w:rPr>
      </w:pPr>
      <w:r>
        <w:rPr>
          <w:sz w:val="22"/>
        </w:rPr>
        <w:t>9. Ši Sutartis yra konfidenciali, jos turinys neatskleidžiamas tretiesiems asmenims (išskyrus Šalis konsultuojančius teisininkus).</w:t>
      </w:r>
    </w:p>
    <w:p>
      <w:pPr>
        <w:pStyle w:val="Normal"/>
        <w:spacing w:lineRule="auto" w:line="360"/>
        <w:ind w:firstLine="720"/>
        <w:rPr>
          <w:sz w:val="22"/>
        </w:rPr>
      </w:pPr>
      <w:r>
        <w:rPr>
          <w:sz w:val="22"/>
        </w:rPr>
        <w:t>10. Šalys privalo vykdyti šią Sutartį tinkamai ir sąžiningai, vykdydamos sutartį Šalys bendradarbiaus ir kooperuosis, vykdys ją kuo ekonomiškesniu kitai Šaliai būdu.</w:t>
      </w:r>
    </w:p>
    <w:p>
      <w:pPr>
        <w:pStyle w:val="Normal"/>
        <w:spacing w:lineRule="auto" w:line="360"/>
        <w:ind w:firstLine="720"/>
        <w:rPr>
          <w:sz w:val="22"/>
        </w:rPr>
      </w:pPr>
      <w:r>
        <w:rPr>
          <w:sz w:val="22"/>
        </w:rPr>
        <w:t>11. Tik raštišku šalių susitarimu sutarties 4 punkte nurodytas terminas gali būti pratęstas.</w:t>
      </w:r>
    </w:p>
    <w:p>
      <w:pPr>
        <w:pStyle w:val="Normal"/>
        <w:spacing w:lineRule="auto" w:line="360"/>
        <w:ind w:firstLine="720"/>
        <w:rPr>
          <w:sz w:val="22"/>
        </w:rPr>
      </w:pPr>
      <w:r>
        <w:rPr>
          <w:sz w:val="22"/>
        </w:rPr>
        <w:t xml:space="preserve">12. Jeigu preliminariąją sutartį sudariusi šalis nepagrįstai vengia ar atsisako sudaryti pagrindinę sutartį arba abi šalys sutaria nutraukti preliminarią sutartį, avansas yra grąžinamas per ________ dienų į Pirkėjo sąskaitą Nr. _______________________________, ir netesybos tarp šalių netaikomos. </w:t>
      </w:r>
    </w:p>
    <w:p>
      <w:pPr>
        <w:pStyle w:val="Normal"/>
        <w:spacing w:lineRule="auto" w:line="360"/>
        <w:ind w:firstLine="720"/>
        <w:rPr>
          <w:sz w:val="22"/>
        </w:rPr>
      </w:pPr>
      <w:r>
        <w:rPr>
          <w:sz w:val="22"/>
        </w:rPr>
        <w:t>14. Visi ginčai susiję su šios sutarties vykdymu sprendžiami geranoriškai, tarpusavio derybomis. Jei per 30 dienų ginčas neišsprendžiamas, jis sprendžiamas LR įstatymų nustatyta tvarka teisme.</w:t>
      </w:r>
    </w:p>
    <w:p>
      <w:pPr>
        <w:pStyle w:val="Normal"/>
        <w:spacing w:lineRule="auto" w:line="360"/>
        <w:ind w:firstLine="720"/>
        <w:rPr>
          <w:sz w:val="22"/>
        </w:rPr>
      </w:pPr>
      <w:r>
        <w:rPr>
          <w:sz w:val="22"/>
        </w:rPr>
      </w:r>
    </w:p>
    <w:p>
      <w:pPr>
        <w:pStyle w:val="Normal"/>
        <w:spacing w:lineRule="auto" w:line="360"/>
        <w:jc w:val="center"/>
        <w:rPr>
          <w:b/>
          <w:b/>
          <w:bCs/>
          <w:sz w:val="22"/>
        </w:rPr>
      </w:pPr>
      <w:r>
        <w:rPr>
          <w:b/>
          <w:bCs/>
          <w:sz w:val="22"/>
        </w:rPr>
        <w:t>V. KITOS SĄLYGOS</w:t>
      </w:r>
    </w:p>
    <w:p>
      <w:pPr>
        <w:pStyle w:val="Normal"/>
        <w:spacing w:lineRule="auto" w:line="360"/>
        <w:ind w:left="540" w:firstLine="180"/>
        <w:rPr>
          <w:b/>
          <w:b/>
          <w:bCs/>
          <w:sz w:val="22"/>
        </w:rPr>
      </w:pPr>
      <w:r>
        <w:rPr>
          <w:b/>
          <w:bCs/>
          <w:sz w:val="22"/>
        </w:rPr>
      </w:r>
    </w:p>
    <w:p>
      <w:pPr>
        <w:pStyle w:val="Normal"/>
        <w:spacing w:lineRule="auto" w:line="360"/>
        <w:ind w:firstLine="748"/>
        <w:rPr>
          <w:sz w:val="22"/>
        </w:rPr>
      </w:pPr>
      <w:r>
        <w:rPr>
          <w:sz w:val="22"/>
        </w:rPr>
        <w:t>14. Šalys perskaitė šią Sutartį, ji atitinka šalių  tikruosius ketinimus bei valią. Šalys supranta jos  turinį bei pasekmes ir yra šalių pasirašyta.</w:t>
      </w:r>
    </w:p>
    <w:p>
      <w:pPr>
        <w:pStyle w:val="Normal"/>
        <w:spacing w:lineRule="auto" w:line="360"/>
        <w:ind w:firstLine="720"/>
        <w:rPr>
          <w:sz w:val="22"/>
        </w:rPr>
      </w:pPr>
      <w:r>
        <w:rPr>
          <w:sz w:val="22"/>
        </w:rPr>
        <w:t>15. Sutartis įsigalioja nuo Avanso sumokėjimo momento. Ši Sutartis yra preliminari,  galutinė bus sudaroma Sutartyje nustatytu terminu notarine forma. Pirkėjui nuosavybės teisė į nekilnojamąjį turtą pereis tik pasirašius galutinę notarinės formos sutartį.</w:t>
        <w:tab/>
      </w:r>
    </w:p>
    <w:p>
      <w:pPr>
        <w:pStyle w:val="Normal"/>
        <w:spacing w:lineRule="auto" w:line="360"/>
        <w:ind w:firstLine="720"/>
        <w:rPr>
          <w:sz w:val="22"/>
        </w:rPr>
      </w:pPr>
      <w:r>
        <w:rPr>
          <w:sz w:val="22"/>
        </w:rPr>
        <w:t xml:space="preserve">16. Visi pranešimai ir kitas Šalių susirašinėjimas pagal Sutartį įteikiamas Sutarties Šaliai pasirašytinai arba siunčiant paštu arba faksu, jei Sutartyje nenurodyta kitaip. Laikoma, kad paštu išsiųstas dokumentas gautas trečią darbo dieną, einančią po tos dienos, kai gavėjui siunčiamas dokumentas įteiktas pašto paslaugas teikiančiai įmonei.   </w:t>
      </w:r>
    </w:p>
    <w:p>
      <w:pPr>
        <w:pStyle w:val="Normal"/>
        <w:spacing w:lineRule="auto" w:line="360"/>
        <w:ind w:firstLine="720"/>
        <w:rPr>
          <w:sz w:val="22"/>
        </w:rPr>
      </w:pPr>
      <w:r>
        <w:rPr>
          <w:sz w:val="22"/>
        </w:rPr>
        <w:t>17. Ši Sutartis sudaryta ______ egzemplioriais, po vieną kiekvienai Šaliai.</w:t>
      </w:r>
    </w:p>
    <w:p>
      <w:pPr>
        <w:pStyle w:val="Normal"/>
        <w:spacing w:lineRule="auto" w:line="360"/>
        <w:ind w:firstLine="720"/>
        <w:rPr>
          <w:sz w:val="22"/>
        </w:rPr>
      </w:pPr>
      <w:r>
        <w:rPr>
          <w:sz w:val="22"/>
        </w:rPr>
        <w:t>18. Visi Šios Sutarties pakeitimai turės privalomą galią jeigu jie bus padaryti raštu ir bus pasirašyti abiejų Šalių.</w:t>
      </w:r>
    </w:p>
    <w:p>
      <w:pPr>
        <w:pStyle w:val="Normal"/>
        <w:spacing w:lineRule="auto" w:line="360"/>
        <w:ind w:left="720" w:hanging="0"/>
        <w:rPr>
          <w:b/>
          <w:b/>
          <w:bCs/>
          <w:i/>
          <w:i/>
          <w:iCs/>
          <w:sz w:val="22"/>
        </w:rPr>
      </w:pPr>
      <w:r>
        <w:rPr>
          <w:b/>
          <w:bCs/>
          <w:i/>
          <w:iCs/>
          <w:sz w:val="22"/>
        </w:rPr>
      </w:r>
    </w:p>
    <w:p>
      <w:pPr>
        <w:pStyle w:val="Normal"/>
        <w:spacing w:lineRule="auto" w:line="360"/>
        <w:ind w:left="720" w:hanging="0"/>
        <w:rPr>
          <w:sz w:val="22"/>
        </w:rPr>
      </w:pPr>
      <w:r>
        <w:rPr>
          <w:b/>
          <w:bCs/>
          <w:i/>
          <w:iCs/>
          <w:sz w:val="22"/>
        </w:rPr>
        <w:t>Sutarties priedai:</w:t>
      </w:r>
      <w:r>
        <w:rPr>
          <w:sz w:val="22"/>
        </w:rPr>
        <w:t xml:space="preserve"> </w:t>
      </w:r>
    </w:p>
    <w:p>
      <w:pPr>
        <w:pStyle w:val="Normal"/>
        <w:spacing w:lineRule="auto" w:line="360"/>
        <w:ind w:left="720" w:hanging="0"/>
        <w:rPr>
          <w:sz w:val="22"/>
        </w:rPr>
      </w:pPr>
      <w:r>
        <w:rPr>
          <w:sz w:val="22"/>
        </w:rPr>
        <w:t xml:space="preserve">1. Nuosavybės teisę patvirtinančių dokumentų kopijos (1 priedas). </w:t>
      </w:r>
    </w:p>
    <w:p>
      <w:pPr>
        <w:pStyle w:val="Normal"/>
        <w:spacing w:lineRule="auto" w:line="360"/>
        <w:ind w:left="720" w:hanging="0"/>
        <w:rPr>
          <w:sz w:val="22"/>
        </w:rPr>
      </w:pPr>
      <w:r>
        <w:rPr>
          <w:sz w:val="22"/>
        </w:rPr>
      </w:r>
    </w:p>
    <w:p>
      <w:pPr>
        <w:pStyle w:val="Normal"/>
        <w:spacing w:lineRule="auto" w:line="360"/>
        <w:jc w:val="center"/>
        <w:rPr>
          <w:b/>
          <w:b/>
          <w:bCs/>
          <w:sz w:val="22"/>
        </w:rPr>
      </w:pPr>
      <w:r>
        <w:rPr>
          <w:b/>
          <w:bCs/>
          <w:sz w:val="22"/>
        </w:rPr>
        <w:t>VI. ŠALIŲ PARAŠAI</w:t>
      </w:r>
    </w:p>
    <w:p>
      <w:pPr>
        <w:pStyle w:val="Normal"/>
        <w:spacing w:lineRule="auto" w:line="360"/>
        <w:ind w:left="720" w:hanging="0"/>
        <w:rPr>
          <w:sz w:val="22"/>
        </w:rPr>
      </w:pPr>
      <w:r>
        <w:rPr>
          <w:sz w:val="22"/>
        </w:rPr>
      </w:r>
    </w:p>
    <w:p>
      <w:pPr>
        <w:pStyle w:val="Normal"/>
        <w:spacing w:lineRule="auto" w:line="360"/>
        <w:ind w:left="720" w:hanging="0"/>
        <w:rPr>
          <w:sz w:val="22"/>
        </w:rPr>
      </w:pPr>
      <w:r>
        <w:rPr>
          <w:sz w:val="22"/>
        </w:rPr>
      </w:r>
    </w:p>
    <w:tbl>
      <w:tblPr>
        <w:tblW w:w="8490" w:type="dxa"/>
        <w:jc w:val="left"/>
        <w:tblInd w:w="674" w:type="dxa"/>
        <w:tblBorders/>
        <w:tblCellMar>
          <w:top w:w="0" w:type="dxa"/>
          <w:left w:w="108" w:type="dxa"/>
          <w:bottom w:w="0" w:type="dxa"/>
          <w:right w:w="108" w:type="dxa"/>
        </w:tblCellMar>
        <w:tblLook w:lastRow="0" w:firstRow="0" w:lastColumn="0" w:firstColumn="0" w:val="0000" w:noHBand="0" w:noVBand="0"/>
      </w:tblPr>
      <w:tblGrid>
        <w:gridCol w:w="4245"/>
        <w:gridCol w:w="4244"/>
      </w:tblGrid>
      <w:tr>
        <w:trPr/>
        <w:tc>
          <w:tcPr>
            <w:tcW w:w="4245" w:type="dxa"/>
            <w:tcBorders/>
            <w:shd w:fill="auto" w:val="clear"/>
          </w:tcPr>
          <w:p>
            <w:pPr>
              <w:pStyle w:val="Normal"/>
              <w:spacing w:lineRule="auto" w:line="360"/>
              <w:rPr>
                <w:b/>
                <w:b/>
                <w:bCs/>
                <w:sz w:val="22"/>
              </w:rPr>
            </w:pPr>
            <w:r>
              <w:rPr>
                <w:b/>
                <w:bCs/>
                <w:sz w:val="22"/>
              </w:rPr>
              <w:t>Pardavėjas</w:t>
            </w:r>
          </w:p>
        </w:tc>
        <w:tc>
          <w:tcPr>
            <w:tcW w:w="4244" w:type="dxa"/>
            <w:tcBorders/>
            <w:shd w:fill="auto" w:val="clear"/>
          </w:tcPr>
          <w:p>
            <w:pPr>
              <w:pStyle w:val="Normal"/>
              <w:spacing w:lineRule="auto" w:line="360"/>
              <w:rPr>
                <w:b/>
                <w:b/>
                <w:bCs/>
                <w:sz w:val="22"/>
              </w:rPr>
            </w:pPr>
            <w:r>
              <w:rPr>
                <w:b/>
                <w:bCs/>
                <w:sz w:val="22"/>
              </w:rPr>
              <w:t>Pirkėjas</w:t>
            </w:r>
          </w:p>
        </w:tc>
      </w:tr>
    </w:tbl>
    <w:p>
      <w:pPr>
        <w:pStyle w:val="Normal"/>
        <w:spacing w:lineRule="auto" w:line="360"/>
        <w:rPr/>
      </w:pPr>
      <w:r>
        <w:rPr/>
      </w:r>
    </w:p>
    <w:p>
      <w:pPr>
        <w:pStyle w:val="Normal"/>
        <w:spacing w:lineRule="auto" w:line="360"/>
        <w:rPr/>
      </w:pPr>
      <w:r>
        <w:rPr/>
      </w:r>
    </w:p>
    <w:sectPr>
      <w:footerReference w:type="default" r:id="rId2"/>
      <w:type w:val="nextPage"/>
      <w:pgSz w:w="11906" w:h="16838"/>
      <w:pgMar w:left="1701" w:right="1133" w:header="0" w:top="1135" w:footer="56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79680573"/>
    </w:sdtPr>
    <w:sdtContent>
      <w:p>
        <w:pPr>
          <w:pStyle w:val="Footer"/>
          <w:jc w:val="right"/>
          <w:rPr/>
        </w:pPr>
        <w:r>
          <w:rPr/>
          <w:fldChar w:fldCharType="begin"/>
        </w:r>
        <w:r>
          <w:rPr/>
          <w:instrText> PAGE </w:instrText>
        </w:r>
        <w:r>
          <w:rPr/>
          <w:fldChar w:fldCharType="separate"/>
        </w:r>
        <w:r>
          <w:rPr/>
          <w:t>3</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50" w:hanging="360"/>
      </w:pPr>
    </w:lvl>
    <w:lvl w:ilvl="1">
      <w:start w:val="1"/>
      <w:numFmt w:val="decimal"/>
      <w:lvlText w:val="%1.%2."/>
      <w:lvlJc w:val="left"/>
      <w:pPr>
        <w:ind w:left="1695" w:hanging="405"/>
      </w:pPr>
      <w:rPr>
        <w:sz w:val="22"/>
      </w:rPr>
    </w:lvl>
    <w:lvl w:ilvl="2">
      <w:start w:val="1"/>
      <w:numFmt w:val="decimal"/>
      <w:lvlText w:val="%1.%2.%3."/>
      <w:lvlJc w:val="left"/>
      <w:pPr>
        <w:ind w:left="2010" w:hanging="720"/>
      </w:pPr>
      <w:rPr>
        <w:sz w:val="22"/>
      </w:rPr>
    </w:lvl>
    <w:lvl w:ilvl="3">
      <w:start w:val="1"/>
      <w:numFmt w:val="decimal"/>
      <w:lvlText w:val="%1.%2.%3.%4."/>
      <w:lvlJc w:val="left"/>
      <w:pPr>
        <w:ind w:left="2010" w:hanging="720"/>
      </w:pPr>
      <w:rPr>
        <w:sz w:val="22"/>
      </w:rPr>
    </w:lvl>
    <w:lvl w:ilvl="4">
      <w:start w:val="1"/>
      <w:numFmt w:val="decimal"/>
      <w:lvlText w:val="%1.%2.%3.%4.%5."/>
      <w:lvlJc w:val="left"/>
      <w:pPr>
        <w:ind w:left="2370" w:hanging="1080"/>
      </w:pPr>
      <w:rPr>
        <w:sz w:val="22"/>
      </w:rPr>
    </w:lvl>
    <w:lvl w:ilvl="5">
      <w:start w:val="1"/>
      <w:numFmt w:val="decimal"/>
      <w:lvlText w:val="%1.%2.%3.%4.%5.%6."/>
      <w:lvlJc w:val="left"/>
      <w:pPr>
        <w:ind w:left="2370" w:hanging="1080"/>
      </w:pPr>
      <w:rPr>
        <w:sz w:val="22"/>
      </w:rPr>
    </w:lvl>
    <w:lvl w:ilvl="6">
      <w:start w:val="1"/>
      <w:numFmt w:val="decimal"/>
      <w:lvlText w:val="%1.%2.%3.%4.%5.%6.%7."/>
      <w:lvlJc w:val="left"/>
      <w:pPr>
        <w:ind w:left="2730" w:hanging="1440"/>
      </w:pPr>
      <w:rPr>
        <w:sz w:val="22"/>
      </w:rPr>
    </w:lvl>
    <w:lvl w:ilvl="7">
      <w:start w:val="1"/>
      <w:numFmt w:val="decimal"/>
      <w:lvlText w:val="%1.%2.%3.%4.%5.%6.%7.%8."/>
      <w:lvlJc w:val="left"/>
      <w:pPr>
        <w:ind w:left="2730" w:hanging="1440"/>
      </w:pPr>
      <w:rPr>
        <w:sz w:val="22"/>
      </w:rPr>
    </w:lvl>
    <w:lvl w:ilvl="8">
      <w:start w:val="1"/>
      <w:numFmt w:val="decimal"/>
      <w:lvlText w:val="%1.%2.%3.%4.%5.%6.%7.%8.%9."/>
      <w:lvlJc w:val="left"/>
      <w:pPr>
        <w:ind w:left="3090" w:hanging="1800"/>
      </w:pPr>
      <w:rPr>
        <w:sz w:val="22"/>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t-L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6186"/>
    <w:pPr>
      <w:widowControl/>
      <w:bidi w:val="0"/>
      <w:spacing w:lineRule="auto" w:line="240" w:before="0" w:after="0"/>
      <w:jc w:val="both"/>
    </w:pPr>
    <w:rPr>
      <w:rFonts w:ascii="Times New Roman" w:hAnsi="Times New Roman" w:eastAsia="Times New Roman" w:cs="Times New Roman"/>
      <w:color w:val="auto"/>
      <w:kern w:val="0"/>
      <w:sz w:val="24"/>
      <w:szCs w:val="24"/>
      <w:lang w:val="lt-LT"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60f7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060f77"/>
    <w:rPr>
      <w:rFonts w:ascii="Times New Roman" w:hAnsi="Times New Roman" w:eastAsia="Times New Roman" w:cs="Times New Roman"/>
      <w:sz w:val="24"/>
      <w:szCs w:val="24"/>
    </w:rPr>
  </w:style>
  <w:style w:type="character" w:styleId="ListLabel1">
    <w:name w:val="ListLabel 1"/>
    <w:qFormat/>
    <w:rPr>
      <w:sz w:val="22"/>
    </w:rPr>
  </w:style>
  <w:style w:type="character" w:styleId="ListLabel2">
    <w:name w:val="ListLabel 2"/>
    <w:qFormat/>
    <w:rPr>
      <w:sz w:val="22"/>
    </w:rPr>
  </w:style>
  <w:style w:type="character" w:styleId="ListLabel3">
    <w:name w:val="ListLabel 3"/>
    <w:qFormat/>
    <w:rPr>
      <w:sz w:val="22"/>
    </w:rPr>
  </w:style>
  <w:style w:type="character" w:styleId="ListLabel4">
    <w:name w:val="ListLabel 4"/>
    <w:qFormat/>
    <w:rPr>
      <w:sz w:val="22"/>
    </w:rPr>
  </w:style>
  <w:style w:type="character" w:styleId="ListLabel5">
    <w:name w:val="ListLabel 5"/>
    <w:qFormat/>
    <w:rPr>
      <w:sz w:val="22"/>
    </w:rPr>
  </w:style>
  <w:style w:type="character" w:styleId="ListLabel6">
    <w:name w:val="ListLabel 6"/>
    <w:qFormat/>
    <w:rPr>
      <w:sz w:val="22"/>
    </w:rPr>
  </w:style>
  <w:style w:type="character" w:styleId="ListLabel7">
    <w:name w:val="ListLabel 7"/>
    <w:qFormat/>
    <w:rPr>
      <w:sz w:val="22"/>
    </w:rPr>
  </w:style>
  <w:style w:type="character" w:styleId="ListLabel8">
    <w:name w:val="ListLabel 8"/>
    <w:qFormat/>
    <w:rPr>
      <w:sz w:val="22"/>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1f6186"/>
    <w:pPr>
      <w:spacing w:before="0" w:after="0"/>
      <w:ind w:left="720" w:hanging="0"/>
      <w:contextualSpacing/>
    </w:pPr>
    <w:rPr/>
  </w:style>
  <w:style w:type="paragraph" w:styleId="Header">
    <w:name w:val="Header"/>
    <w:basedOn w:val="Normal"/>
    <w:link w:val="HeaderChar"/>
    <w:uiPriority w:val="99"/>
    <w:unhideWhenUsed/>
    <w:rsid w:val="00060f77"/>
    <w:pPr>
      <w:tabs>
        <w:tab w:val="clear" w:pos="1296"/>
        <w:tab w:val="center" w:pos="4819" w:leader="none"/>
        <w:tab w:val="right" w:pos="9638" w:leader="none"/>
      </w:tabs>
    </w:pPr>
    <w:rPr/>
  </w:style>
  <w:style w:type="paragraph" w:styleId="Footer">
    <w:name w:val="Footer"/>
    <w:basedOn w:val="Normal"/>
    <w:link w:val="FooterChar"/>
    <w:uiPriority w:val="99"/>
    <w:unhideWhenUsed/>
    <w:rsid w:val="00060f77"/>
    <w:pPr>
      <w:tabs>
        <w:tab w:val="clear" w:pos="1296"/>
        <w:tab w:val="center" w:pos="4819" w:leader="none"/>
        <w:tab w:val="right" w:pos="9638"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LibreOffice/6.1.5.2$Linux_X86_64 LibreOffice_project/10$Build-2</Application>
  <Pages>3</Pages>
  <Words>549</Words>
  <Characters>4392</Characters>
  <CharactersWithSpaces>4923</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2019-03-19T12:27:00Z</dcterms:created>
  <dc:creator>Andriuss</dc:creator>
  <dc:description/>
  <dc:language>en-US</dc:language>
  <cp:lastModifiedBy/>
  <dcterms:modified xsi:type="dcterms:W3CDTF">2020-07-30T04:44:56Z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